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:</w:t>
      </w:r>
    </w:p>
    <w:tbl>
      <w:tblPr>
        <w:tblStyle w:val="2"/>
        <w:tblpPr w:leftFromText="180" w:rightFromText="180" w:vertAnchor="text" w:horzAnchor="page" w:tblpXSpec="center" w:tblpY="699"/>
        <w:tblOverlap w:val="never"/>
        <w:tblW w:w="14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287"/>
        <w:gridCol w:w="446"/>
        <w:gridCol w:w="475"/>
        <w:gridCol w:w="373"/>
        <w:gridCol w:w="875"/>
        <w:gridCol w:w="350"/>
        <w:gridCol w:w="1775"/>
        <w:gridCol w:w="787"/>
        <w:gridCol w:w="750"/>
        <w:gridCol w:w="400"/>
        <w:gridCol w:w="388"/>
        <w:gridCol w:w="675"/>
        <w:gridCol w:w="1675"/>
        <w:gridCol w:w="1287"/>
        <w:gridCol w:w="1250"/>
        <w:gridCol w:w="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94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2021年三明市电力开发服务中心公开招聘高层次人才岗位信息表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方式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免笔试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类型</w:t>
            </w:r>
          </w:p>
        </w:tc>
        <w:tc>
          <w:tcPr>
            <w:tcW w:w="80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岗位资格条件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bidi="ar"/>
              </w:rPr>
              <w:t>用人企业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最高年龄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面貌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对象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其他条件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招聘单位审核人姓名、联系电话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三明市工业和信息化局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三明市电力开发服务中心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财政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核拨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专业技术人员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高级职称免笔试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计算机软件技术类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学士及以上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不限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不限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具有电子信息类高级工程师职称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陈晓莉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0598-8223686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三明市信息产业发展有限公司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最低服务年限三年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2021-11-03T00:52:41Z</dcterms:created>
  <dc:creator>Administrator</dc:creator>
  <cp:lastModifiedBy>Administrator</cp:lastModifiedBy>
  <dcterms:modified xsi:type="dcterms:W3CDTF">2021-11-03T00:52:50Z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27221B651EEA4146A4ED8B883895C7AA</vt:lpwstr>
  </property>
</Properties>
</file>